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"/>
        <w:ind w:right="-1"/>
        <w:rPr>
          <w:b/>
          <w:bCs/>
        </w:rPr>
      </w:pPr>
      <w:bookmarkStart w:id="0" w:name="_Ref92990290"/>
      <w:bookmarkStart w:id="1" w:name="_Toc80783061"/>
      <w:bookmarkStart w:id="2" w:name="_Toc80783620"/>
      <w:bookmarkStart w:id="3" w:name="_Ref80785773"/>
      <w:bookmarkStart w:id="4" w:name="_Ref80786014"/>
    </w:p>
    <w:p>
      <w:pPr>
        <w:pStyle w:val="1"/>
        <w:ind w:right="-1"/>
        <w:rPr>
          <w:b/>
          <w:bCs/>
        </w:rPr>
      </w:pPr>
      <w:r>
        <w:rPr>
          <w:b/>
          <w:bCs/>
        </w:rPr>
        <w:t xml:space="preserve">Форма 2.</w:t>
      </w:r>
      <w:r>
        <w:rPr>
          <w:b/>
          <w:bCs/>
        </w:rPr>
        <w:t xml:space="preserve">7 (б)</w:t>
      </w:r>
      <w:bookmarkEnd w:id="0"/>
    </w:p>
    <w:p>
      <w:pPr>
        <w:spacing w:after="0" w:line="240" w:lineRule="auto"/>
        <w:ind w:right="-513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Индивидуальный пенсионный договор</w:t>
      </w:r>
      <w:r>
        <w:rPr>
          <w:rFonts w:cs="Arial"/>
          <w:b/>
          <w:szCs w:val="20"/>
        </w:rPr>
        <w:t xml:space="preserve"> №___________</w:t>
      </w:r>
    </w:p>
    <w:p>
      <w:pPr>
        <w:spacing w:after="0" w:line="240" w:lineRule="auto"/>
        <w:ind w:right="-513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по пенсионной программе «</w:t>
      </w:r>
      <w:r>
        <w:rPr>
          <w:rFonts w:cs="Arial"/>
          <w:b/>
          <w:szCs w:val="20"/>
        </w:rPr>
        <w:t xml:space="preserve">Софинансирование</w:t>
      </w:r>
      <w:r>
        <w:rPr>
          <w:rFonts w:cs="Arial"/>
          <w:b/>
          <w:szCs w:val="20"/>
        </w:rPr>
        <w:t xml:space="preserve"> плюс</w:t>
      </w:r>
      <w:r>
        <w:rPr>
          <w:rFonts w:cs="Arial"/>
          <w:b/>
          <w:szCs w:val="20"/>
        </w:rPr>
        <w:t xml:space="preserve">»</w:t>
      </w:r>
    </w:p>
    <w:p>
      <w:pPr>
        <w:spacing w:after="0" w:line="240" w:lineRule="auto"/>
        <w:ind w:right="-513"/>
        <w:jc w:val="center"/>
        <w:rPr>
          <w:rFonts w:cs="Arial"/>
          <w:b/>
          <w:szCs w:val="20"/>
        </w:rPr>
      </w:pPr>
    </w:p>
    <w:p>
      <w:pPr>
        <w:widowControl w:val="off"/>
        <w:spacing w:after="0" w:line="240" w:lineRule="auto"/>
        <w:ind w:right="-1" w:firstLine="709"/>
        <w:jc w:val="both"/>
        <w:rPr>
          <w:rFonts w:eastAsia="Times New Roman"/>
          <w:sz w:val="10"/>
          <w:szCs w:val="10"/>
          <w:lang w:eastAsia="ru-RU"/>
        </w:rPr>
      </w:pPr>
      <w:r>
        <w:rPr>
          <w:rFonts w:eastAsia="Times New Roman"/>
          <w:szCs w:val="20"/>
          <w:lang w:eastAsia="ru-RU"/>
        </w:rPr>
        <w:t xml:space="preserve">Акционерное общество «Негосударственный пенсионный фонд «</w:t>
      </w:r>
      <w:r>
        <w:rPr>
          <w:rFonts w:eastAsia="Times New Roman"/>
          <w:szCs w:val="20"/>
          <w:lang w:eastAsia="ru-RU"/>
        </w:rPr>
        <w:t xml:space="preserve">Ростех</w:t>
      </w:r>
      <w:r>
        <w:rPr>
          <w:rFonts w:eastAsia="Times New Roman"/>
          <w:szCs w:val="20"/>
          <w:lang w:eastAsia="ru-RU"/>
        </w:rPr>
        <w:t xml:space="preserve">» (далее именуемое «Фонд»), лицензия № 169/2 от 02.08.2005, в лице представителя </w:t>
      </w:r>
      <w:r>
        <w:rPr>
          <w:rFonts w:eastAsia="Times New Roman"/>
          <w:szCs w:val="20"/>
          <w:lang w:eastAsia="ru-RU"/>
        </w:rPr>
        <w:t xml:space="preserve">______________________________________________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_________________________________________________________________________________________</w:t>
      </w:r>
      <w:r>
        <w:rPr>
          <w:rFonts w:eastAsia="Times New Roman"/>
          <w:szCs w:val="20"/>
          <w:lang w:eastAsia="ru-RU"/>
        </w:rPr>
        <w:t xml:space="preserve">__</w:t>
      </w:r>
      <w:r>
        <w:rPr>
          <w:rFonts w:eastAsia="Times New Roman"/>
          <w:szCs w:val="20"/>
          <w:lang w:eastAsia="ru-RU"/>
        </w:rPr>
        <w:t xml:space="preserve">_,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действующего на основании доверенности № ___________ от «__</w:t>
      </w:r>
      <w:r>
        <w:rPr>
          <w:rFonts w:eastAsia="Times New Roman"/>
          <w:szCs w:val="20"/>
          <w:lang w:eastAsia="ru-RU"/>
        </w:rPr>
        <w:t xml:space="preserve">_»_</w:t>
      </w:r>
      <w:r>
        <w:rPr>
          <w:rFonts w:eastAsia="Times New Roman"/>
          <w:szCs w:val="20"/>
          <w:lang w:eastAsia="ru-RU"/>
        </w:rPr>
        <w:t xml:space="preserve">____</w:t>
      </w:r>
      <w:r>
        <w:rPr>
          <w:rFonts w:eastAsia="Times New Roman"/>
          <w:szCs w:val="20"/>
          <w:lang w:eastAsia="ru-RU"/>
        </w:rPr>
        <w:t xml:space="preserve">_</w:t>
      </w:r>
      <w:r>
        <w:rPr>
          <w:rFonts w:eastAsia="Times New Roman"/>
          <w:szCs w:val="20"/>
          <w:lang w:eastAsia="ru-RU"/>
        </w:rPr>
        <w:t xml:space="preserve">________ 20____ г., с одной стороны, и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____________________________________________________________________________________________________</w:t>
      </w:r>
      <w:r>
        <w:rPr>
          <w:rFonts w:eastAsia="Times New Roman"/>
          <w:sz w:val="18"/>
          <w:szCs w:val="18"/>
          <w:lang w:eastAsia="ru-RU"/>
        </w:rPr>
        <w:t xml:space="preserve">__</w:t>
      </w:r>
      <w:r>
        <w:rPr>
          <w:rFonts w:eastAsia="Times New Roman"/>
          <w:sz w:val="18"/>
          <w:szCs w:val="18"/>
          <w:lang w:eastAsia="ru-RU"/>
        </w:rPr>
        <w:t xml:space="preserve">;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фамилия, имя, отчество, дата рождения, 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_____________________________________________________________________________________________________________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наименование и номер документа, удостоверяющего личность, дата его выдачи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_____________________________________________________________________________________________________________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наименование органа, выдавшего документ,</w:t>
      </w:r>
      <w:r>
        <w:rPr>
          <w:rFonts w:eastAsia="Times New Roman"/>
          <w:sz w:val="12"/>
          <w:szCs w:val="12"/>
          <w:lang w:eastAsia="ru-RU"/>
        </w:rPr>
        <w:t xml:space="preserve"> СНИЛС,</w:t>
      </w:r>
      <w:r>
        <w:rPr>
          <w:rFonts w:eastAsia="Times New Roman"/>
          <w:sz w:val="12"/>
          <w:szCs w:val="12"/>
          <w:lang w:eastAsia="ru-RU"/>
        </w:rPr>
        <w:t xml:space="preserve"> ИНН (при наличии)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зарегистрирован </w:t>
      </w: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</w:t>
      </w:r>
      <w:r>
        <w:rPr>
          <w:rFonts w:eastAsia="Times New Roman"/>
          <w:sz w:val="17"/>
          <w:szCs w:val="17"/>
          <w:lang w:eastAsia="ru-RU"/>
        </w:rPr>
        <w:t xml:space="preserve">_____</w:t>
      </w:r>
    </w:p>
    <w:p>
      <w:pPr>
        <w:widowControl w:val="off"/>
        <w:spacing w:after="0" w:line="240" w:lineRule="auto"/>
        <w:ind w:left="2124" w:right="-1" w:firstLine="708"/>
        <w:jc w:val="both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почтовый индекс, населенный пункт, улица, номер дома, номер квартиры, контактный телефон (домашний, мобильный), </w:t>
      </w:r>
      <w:r>
        <w:rPr>
          <w:rFonts w:eastAsia="Times New Roman"/>
          <w:sz w:val="12"/>
          <w:szCs w:val="12"/>
          <w:lang w:val="en-US" w:eastAsia="ru-RU"/>
        </w:rPr>
        <w:t xml:space="preserve">e</w:t>
      </w:r>
      <w:r>
        <w:rPr>
          <w:rFonts w:eastAsia="Times New Roman"/>
          <w:sz w:val="12"/>
          <w:szCs w:val="12"/>
          <w:lang w:eastAsia="ru-RU"/>
        </w:rPr>
        <w:t xml:space="preserve">-</w:t>
      </w:r>
      <w:r>
        <w:rPr>
          <w:rFonts w:eastAsia="Times New Roman"/>
          <w:sz w:val="12"/>
          <w:szCs w:val="12"/>
          <w:lang w:val="en-US" w:eastAsia="ru-RU"/>
        </w:rPr>
        <w:t xml:space="preserve">mail</w:t>
      </w:r>
    </w:p>
    <w:p>
      <w:pPr>
        <w:widowControl w:val="off"/>
        <w:spacing w:after="0" w:line="240" w:lineRule="auto"/>
        <w:ind w:right="-1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 w:val="10"/>
          <w:szCs w:val="10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___________________________________________________________________________________________________________________________________________________________</w:t>
      </w:r>
    </w:p>
    <w:p>
      <w:pPr>
        <w:widowControl w:val="off"/>
        <w:spacing w:after="0" w:line="240" w:lineRule="auto"/>
        <w:ind w:right="-1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(далее именуемый «участник»), с другой стороны, заключили настоящий договор негосударственного пенсионного обеспечения (далее – пенсионный договор) в соответствии с Пенсионными правилами Фонда о нижеследующем: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Предметом пенсионного договора является негосударственное пенсионное обеспечение участника за счет пенсионных взносов, внесенных участником в свою пользу.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Пенсионный договор состоит из настоящего бланка и общих условий индивидуального пенсионного договора</w:t>
      </w:r>
      <w:r>
        <w:rPr>
          <w:rFonts w:eastAsia="Times New Roman"/>
          <w:szCs w:val="20"/>
          <w:lang w:eastAsia="ru-RU"/>
        </w:rPr>
        <w:t xml:space="preserve"> по </w:t>
      </w:r>
      <w:r>
        <w:rPr>
          <w:rFonts w:eastAsia="Times New Roman"/>
          <w:szCs w:val="20"/>
          <w:lang w:eastAsia="ru-RU"/>
        </w:rPr>
        <w:t xml:space="preserve">пенсионной </w:t>
      </w:r>
      <w:r>
        <w:rPr>
          <w:rFonts w:eastAsia="Times New Roman"/>
          <w:szCs w:val="20"/>
          <w:lang w:eastAsia="ru-RU"/>
        </w:rPr>
        <w:t xml:space="preserve">программе «</w:t>
      </w:r>
      <w:r>
        <w:rPr>
          <w:rFonts w:eastAsia="Times New Roman"/>
          <w:szCs w:val="20"/>
          <w:lang w:eastAsia="ru-RU"/>
        </w:rPr>
        <w:t xml:space="preserve">Софинансирование</w:t>
      </w:r>
      <w:r>
        <w:rPr>
          <w:rFonts w:eastAsia="Times New Roman"/>
          <w:szCs w:val="20"/>
          <w:lang w:eastAsia="ru-RU"/>
        </w:rPr>
        <w:t xml:space="preserve"> плюс»</w:t>
      </w:r>
      <w:r>
        <w:rPr>
          <w:rFonts w:eastAsia="Times New Roman"/>
          <w:szCs w:val="20"/>
          <w:lang w:eastAsia="ru-RU"/>
        </w:rPr>
        <w:t xml:space="preserve">, размещенных на сайте Фонда в информационно-телекоммуникационной сети Интернет по адресу: </w:t>
      </w:r>
      <w:hyperlink r:id="rId11" w:history="1">
        <w:r>
          <w:rPr>
            <w:rFonts w:eastAsia="Times New Roman"/>
            <w:szCs w:val="20"/>
            <w:lang w:eastAsia="ru-RU"/>
          </w:rPr>
          <w:t xml:space="preserve">www.rostecnpf.ru</w:t>
        </w:r>
      </w:hyperlink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Пенсионные взносы вносятся участником:</w:t>
      </w:r>
    </w:p>
    <w:p>
      <w:pPr>
        <w:widowControl w:val="off"/>
        <w:spacing w:after="0" w:line="240" w:lineRule="auto"/>
        <w:ind w:right="-1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а) </w:t>
      </w:r>
      <w:r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в размере _________________</w:t>
      </w:r>
      <w:r>
        <w:rPr>
          <w:rFonts w:eastAsia="Times New Roman"/>
          <w:szCs w:val="20"/>
          <w:lang w:eastAsia="ru-RU"/>
        </w:rPr>
        <w:t xml:space="preserve">% от начисленной заработной платы</w:t>
      </w:r>
      <w:r>
        <w:rPr>
          <w:rFonts w:eastAsia="Times New Roman"/>
          <w:szCs w:val="20"/>
          <w:lang w:eastAsia="ru-RU"/>
        </w:rPr>
        <w:t xml:space="preserve">;</w:t>
      </w:r>
    </w:p>
    <w:p>
      <w:pPr>
        <w:widowControl w:val="off"/>
        <w:spacing w:after="0" w:line="240" w:lineRule="auto"/>
        <w:ind w:right="-1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б) </w:t>
      </w:r>
      <w:r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начиная с ____________________ ________ г. 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Право на получение негосударственной пенсии по настоящему пенсионному договору </w:t>
      </w:r>
      <w:r>
        <w:rPr>
          <w:rFonts w:eastAsia="Times New Roman"/>
          <w:szCs w:val="20"/>
          <w:lang w:eastAsia="ru-RU"/>
        </w:rPr>
        <w:t xml:space="preserve">участник </w:t>
      </w:r>
      <w:r>
        <w:rPr>
          <w:rFonts w:eastAsia="Times New Roman"/>
          <w:szCs w:val="20"/>
          <w:lang w:eastAsia="ru-RU"/>
        </w:rPr>
        <w:t xml:space="preserve">приобрета</w:t>
      </w:r>
      <w:r>
        <w:rPr>
          <w:rFonts w:eastAsia="Times New Roman"/>
          <w:szCs w:val="20"/>
          <w:lang w:eastAsia="ru-RU"/>
        </w:rPr>
        <w:t xml:space="preserve">е</w:t>
      </w:r>
      <w:r>
        <w:rPr>
          <w:rFonts w:eastAsia="Times New Roman"/>
          <w:szCs w:val="20"/>
          <w:lang w:eastAsia="ru-RU"/>
        </w:rPr>
        <w:t xml:space="preserve">т </w:t>
      </w:r>
      <w:r>
        <w:rPr>
          <w:rFonts w:eastAsia="Times New Roman"/>
          <w:szCs w:val="20"/>
          <w:lang w:eastAsia="ru-RU"/>
        </w:rPr>
        <w:t xml:space="preserve">при достижении участником возраста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60 лет</w:t>
      </w:r>
      <w:r>
        <w:rPr>
          <w:rFonts w:eastAsia="Times New Roman"/>
          <w:szCs w:val="20"/>
          <w:lang w:eastAsia="ru-RU"/>
        </w:rPr>
        <w:t xml:space="preserve"> для мужчин или 55 лет – для </w:t>
      </w:r>
      <w:r>
        <w:rPr>
          <w:rFonts w:eastAsia="Times New Roman"/>
          <w:szCs w:val="20"/>
          <w:lang w:eastAsia="ru-RU"/>
        </w:rPr>
        <w:t xml:space="preserve">женщин</w:t>
      </w:r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Негосударственная пенсия назначается участнику на основании его письменного заявления о назначении негосударственной пенсии с приложенными документами, предусмотренными пенсионным договором. </w:t>
      </w:r>
      <w:r>
        <w:rPr>
          <w:rFonts w:eastAsia="Times New Roman"/>
          <w:szCs w:val="20"/>
          <w:lang w:eastAsia="ru-RU"/>
        </w:rPr>
        <w:t xml:space="preserve">Заявление о назначении негосударственной пенсии подается участником не ранее даты приобретения участником пенсионного основания.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Участник вправе расторгнуть пенсионный договор в течение четырнадцати календарных дней после дня его заключения (период охлаждения) путем подачи в Фонд заявления, а Фонд обязан осуществить возврат уплаченных пенсионных взносов.</w:t>
      </w:r>
    </w:p>
    <w:p>
      <w:pPr>
        <w:widowControl w:val="off"/>
        <w:numPr>
          <w:numId w:val="6"/>
          <w:ilvl w:val="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Пенсионный договор составлен в 2-х экземплярах, имеющих равную юридическую силу, - по одному экземпляру каждой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тороне, вступает в силу с даты его подписания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торонами и действует до полного исполнения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торонами своих обязательств.</w:t>
      </w:r>
    </w:p>
    <w:p>
      <w:pPr>
        <w:widowControl w:val="off"/>
        <w:tabs>
          <w:tab w:val="left" w:pos="1134"/>
        </w:tabs>
        <w:spacing w:after="0" w:line="240" w:lineRule="auto"/>
        <w:ind w:left="709"/>
        <w:jc w:val="both"/>
        <w:rPr>
          <w:rFonts w:eastAsia="Times New Roman"/>
          <w:szCs w:val="20"/>
          <w:lang w:eastAsia="ru-RU"/>
        </w:rPr>
      </w:pPr>
    </w:p>
    <w:tbl>
      <w:tblPr>
        <w:tblW w:w="10647" w:type="dxa"/>
        <w:jc w:val="center"/>
        <w:tblLook w:val="01E0" w:firstRow="1" w:lastRow="1" w:firstColumn="1" w:lastColumn="1" w:noHBand="0" w:noVBand="0"/>
      </w:tblPr>
      <w:tblGrid>
        <w:gridCol w:w="5221"/>
        <w:gridCol w:w="5426"/>
      </w:tblGrid>
      <w:tr>
        <w:trPr>
          <w:jc w:val="center"/>
          <w:trHeight w:val="1036"/>
        </w:trPr>
        <w:tc>
          <w:tcPr>
            <w:tcW w:w="5221" w:type="dxa"/>
          </w:tcPr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Представитель АО «НПФ «</w:t>
            </w:r>
            <w:r>
              <w:rPr>
                <w:rFonts w:eastAsia="Times New Roman"/>
                <w:b/>
                <w:szCs w:val="20"/>
                <w:lang w:eastAsia="ru-RU"/>
              </w:rPr>
              <w:t xml:space="preserve">Ростех</w:t>
            </w:r>
            <w:r>
              <w:rPr>
                <w:rFonts w:eastAsia="Times New Roman"/>
                <w:b/>
                <w:szCs w:val="20"/>
                <w:lang w:eastAsia="ru-RU"/>
              </w:rPr>
              <w:t xml:space="preserve">»</w:t>
            </w:r>
          </w:p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__________________________________________</w:t>
            </w:r>
          </w:p>
          <w:p>
            <w:pPr>
              <w:widowControl w:val="off"/>
              <w:spacing w:after="0" w:line="24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426" w:type="dxa"/>
          </w:tcPr>
          <w:p>
            <w:pPr>
              <w:widowControl w:val="off"/>
              <w:spacing w:after="0" w:line="240" w:lineRule="auto"/>
              <w:ind w:left="602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Участник </w:t>
            </w:r>
          </w:p>
          <w:p>
            <w:pPr>
              <w:widowControl w:val="off"/>
              <w:spacing w:after="0" w:line="240" w:lineRule="auto"/>
              <w:ind w:left="602"/>
              <w:jc w:val="both"/>
              <w:rPr>
                <w:rFonts w:eastAsia="Times New Roman"/>
                <w:b/>
                <w:szCs w:val="20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602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________________________________________</w:t>
            </w:r>
          </w:p>
        </w:tc>
      </w:tr>
    </w:tbl>
    <w:p>
      <w:pPr>
        <w:widowControl w:val="off"/>
        <w:spacing w:after="0" w:line="240" w:lineRule="auto"/>
        <w:jc w:val="righ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«__</w:t>
      </w:r>
      <w:r>
        <w:rPr>
          <w:rFonts w:eastAsia="Times New Roman"/>
          <w:szCs w:val="20"/>
          <w:lang w:eastAsia="ru-RU"/>
        </w:rPr>
        <w:t xml:space="preserve">_»_</w:t>
      </w:r>
      <w:r>
        <w:rPr>
          <w:rFonts w:eastAsia="Times New Roman"/>
          <w:szCs w:val="20"/>
          <w:lang w:eastAsia="ru-RU"/>
        </w:rPr>
        <w:t xml:space="preserve">____________ 20____ г</w:t>
      </w:r>
    </w:p>
    <w:p>
      <w:pPr>
        <w:spacing w:after="0" w:line="240" w:lineRule="auto"/>
        <w:ind w:right="-1" w:firstLine="426"/>
        <w:rPr>
          <w:rFonts w:eastAsia="Times New Roman"/>
          <w:szCs w:val="20"/>
          <w:lang w:eastAsia="ru-RU"/>
        </w:rPr>
      </w:pPr>
    </w:p>
    <w:p>
      <w:pPr>
        <w:spacing w:after="0" w:line="240" w:lineRule="auto"/>
        <w:ind w:right="-1"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Участник ознакомлен с Пенсионными правилами Фонда, Ключевым информационным документом по негосударственному пенсионному обеспечению и с общими условиями договора негосударственного пенсионного обеспечения по </w:t>
      </w:r>
      <w:r>
        <w:rPr>
          <w:rFonts w:cs="Arial"/>
          <w:szCs w:val="20"/>
        </w:rPr>
        <w:t xml:space="preserve">пенсионной </w:t>
      </w:r>
      <w:r>
        <w:rPr>
          <w:rFonts w:cs="Arial"/>
          <w:szCs w:val="20"/>
        </w:rPr>
        <w:t xml:space="preserve">программе «</w:t>
      </w:r>
      <w:r>
        <w:rPr>
          <w:rFonts w:cs="Arial"/>
          <w:szCs w:val="20"/>
        </w:rPr>
        <w:t xml:space="preserve">Софинансирование</w:t>
      </w:r>
      <w:r>
        <w:rPr>
          <w:rFonts w:cs="Arial"/>
          <w:szCs w:val="20"/>
        </w:rPr>
        <w:t xml:space="preserve"> плюс».</w:t>
      </w:r>
    </w:p>
    <w:p>
      <w:pPr>
        <w:spacing w:after="0" w:line="240" w:lineRule="auto"/>
        <w:ind w:right="-1"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Участник уведомлен о необходимости обновления с периодичностью не реже одного раза в три года информации о паспортных данных, месте жительства, и иных сведениях, влияющих на исполнение Фондом своих обязательств по настоящему договору, а также о своевременном информировании при изменении вышеуказанной информации.</w:t>
      </w:r>
    </w:p>
    <w:p>
      <w:pPr>
        <w:spacing w:after="0" w:line="240" w:lineRule="auto"/>
        <w:ind w:left="7788" w:hanging="558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</w:t>
      </w:r>
    </w:p>
    <w:p>
      <w:pPr>
        <w:spacing w:after="0" w:line="240" w:lineRule="auto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участника</w:t>
      </w:r>
    </w:p>
    <w:p>
      <w:pPr>
        <w:widowControl w:val="off"/>
        <w:spacing w:after="0" w:line="240" w:lineRule="auto"/>
        <w:ind w:right="-513" w:firstLine="709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Служебная информация (не является условиями договора)</w:t>
      </w:r>
    </w:p>
    <w:p>
      <w:pPr>
        <w:widowControl w:val="off"/>
        <w:spacing w:after="0" w:line="240" w:lineRule="auto"/>
        <w:ind w:right="-513"/>
        <w:jc w:val="both"/>
        <w:rPr>
          <w:rFonts w:eastAsia="Times New Roman" w:cs="Arial"/>
          <w:sz w:val="12"/>
          <w:szCs w:val="12"/>
          <w:lang w:eastAsia="ru-RU"/>
        </w:rPr>
      </w:pPr>
    </w:p>
    <w:p>
      <w:pPr>
        <w:widowControl w:val="off"/>
        <w:spacing w:after="0" w:line="240" w:lineRule="auto"/>
        <w:ind w:right="-513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Место работы участника</w:t>
      </w:r>
    </w:p>
    <w:p>
      <w:pPr>
        <w:widowControl w:val="off"/>
        <w:spacing w:after="0" w:line="240" w:lineRule="auto"/>
        <w:ind w:right="-513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на дату заключения договора _______________________________________________________________________________</w:t>
      </w:r>
    </w:p>
    <w:p>
      <w:pPr>
        <w:spacing w:after="0" w:line="240" w:lineRule="auto"/>
        <w:ind w:right="-51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_</w:t>
      </w:r>
      <w:r>
        <w:rPr>
          <w:rFonts w:cs="Arial"/>
          <w:sz w:val="17"/>
          <w:szCs w:val="17"/>
        </w:rPr>
        <w:t xml:space="preserve">_______________________________________________________________________________________________________</w:t>
      </w:r>
      <w:r>
        <w:rPr>
          <w:rFonts w:cs="Arial"/>
          <w:sz w:val="17"/>
          <w:szCs w:val="17"/>
        </w:rPr>
        <w:t xml:space="preserve">____</w:t>
      </w:r>
      <w:r>
        <w:rPr>
          <w:rFonts w:cs="Arial"/>
          <w:sz w:val="17"/>
          <w:szCs w:val="17"/>
        </w:rPr>
        <w:t xml:space="preserve">_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Акционерное общество «Негосударственный пенсионный фонд «</w:t>
      </w:r>
      <w:r>
        <w:rPr>
          <w:rFonts w:cs="Arial"/>
          <w:sz w:val="12"/>
          <w:szCs w:val="12"/>
        </w:rPr>
        <w:t xml:space="preserve">Ростех</w:t>
      </w:r>
      <w:r>
        <w:rPr>
          <w:rFonts w:cs="Arial"/>
          <w:sz w:val="12"/>
          <w:szCs w:val="12"/>
        </w:rPr>
        <w:t xml:space="preserve">»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лицензия № 169/2 от 02.08.2005</w:t>
      </w:r>
    </w:p>
    <w:p>
      <w:pPr>
        <w:pStyle w:val="a8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Место нахождения: </w:t>
      </w:r>
      <w:r>
        <w:rPr>
          <w:rFonts w:ascii="Arial" w:hAnsi="Arial" w:cs="Arial"/>
          <w:sz w:val="12"/>
          <w:szCs w:val="12"/>
        </w:rPr>
        <w:t xml:space="preserve">125424, г. Москва, </w:t>
      </w:r>
      <w:r>
        <w:rPr>
          <w:rFonts w:ascii="Arial" w:hAnsi="Arial" w:cs="Arial"/>
          <w:sz w:val="12"/>
          <w:szCs w:val="12"/>
        </w:rPr>
        <w:t xml:space="preserve">вн.тер.г</w:t>
      </w:r>
      <w:r>
        <w:rPr>
          <w:rFonts w:ascii="Arial" w:hAnsi="Arial" w:cs="Arial"/>
          <w:sz w:val="12"/>
          <w:szCs w:val="12"/>
        </w:rPr>
        <w:t xml:space="preserve">. муниципальный округ Покровское-</w:t>
      </w:r>
      <w:r>
        <w:rPr>
          <w:rFonts w:ascii="Arial" w:hAnsi="Arial" w:cs="Arial"/>
          <w:sz w:val="12"/>
          <w:szCs w:val="12"/>
        </w:rPr>
        <w:t xml:space="preserve">Стрешнево</w:t>
      </w:r>
      <w:r>
        <w:rPr>
          <w:rFonts w:ascii="Arial" w:hAnsi="Arial" w:cs="Arial"/>
          <w:sz w:val="12"/>
          <w:szCs w:val="12"/>
        </w:rPr>
        <w:t xml:space="preserve">, ш. Волоколамское, д. 75А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Почтовый адрес: 445028, г. Тольятти, ул. Фрунзе, д. 24;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тел. (848-2) 388-915, 8 800 600 8915</w:t>
      </w:r>
    </w:p>
    <w:p>
      <w:pPr>
        <w:spacing w:after="0"/>
        <w:ind w:right="-513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ОГРН 1156313047087, ИНН 6321391646, КПП 77</w:t>
      </w:r>
      <w:r>
        <w:rPr>
          <w:rFonts w:cs="Arial"/>
          <w:sz w:val="12"/>
          <w:szCs w:val="12"/>
        </w:rPr>
        <w:t xml:space="preserve">33</w:t>
      </w:r>
      <w:r>
        <w:rPr>
          <w:rFonts w:cs="Arial"/>
          <w:sz w:val="12"/>
          <w:szCs w:val="12"/>
        </w:rPr>
        <w:t xml:space="preserve">01001, р/с </w:t>
      </w:r>
      <w:r>
        <w:rPr>
          <w:rFonts w:cs="Arial"/>
          <w:sz w:val="12"/>
          <w:szCs w:val="12"/>
        </w:rPr>
        <w:t xml:space="preserve">40701810004000000006</w:t>
      </w:r>
    </w:p>
    <w:p>
      <w:pPr>
        <w:pStyle w:val="a8"/>
        <w:ind w:right="-513"/>
        <w:jc w:val="center"/>
        <w:rPr>
          <w:rFonts w:cs="Arial"/>
        </w:rPr>
      </w:pPr>
      <w:r>
        <w:rPr>
          <w:rFonts w:ascii="Arial" w:hAnsi="Arial" w:eastAsia="Times New Roman" w:cs="Arial"/>
          <w:sz w:val="12"/>
          <w:szCs w:val="12"/>
          <w:lang w:eastAsia="ru-RU"/>
        </w:rPr>
        <w:t xml:space="preserve">в Филиале АО </w:t>
      </w:r>
      <w:r>
        <w:rPr>
          <w:rFonts w:ascii="Arial" w:hAnsi="Arial" w:cs="Arial" w:eastAsiaTheme="minorHAnsi"/>
          <w:sz w:val="12"/>
          <w:szCs w:val="12"/>
        </w:rPr>
        <w:t xml:space="preserve">АКБ «НОВИКОМБАНК» в г. Тольятти к/с </w:t>
      </w:r>
      <w:bookmarkEnd w:id="1"/>
      <w:bookmarkEnd w:id="2"/>
      <w:bookmarkEnd w:id="3"/>
      <w:bookmarkEnd w:id="4"/>
      <w:r>
        <w:rPr>
          <w:rFonts w:ascii="Arial" w:hAnsi="Arial" w:cs="Arial" w:eastAsiaTheme="minorHAnsi"/>
          <w:sz w:val="12"/>
          <w:szCs w:val="12"/>
        </w:rPr>
        <w:t xml:space="preserve">30101810345373601944 в Отделении Самара, БИК 043601944</w:t>
      </w:r>
      <w:bookmarkStart w:id="5" w:name="_GoBack"/>
      <w:bookmarkEnd w:id="5"/>
    </w:p>
    <w:sectPr>
      <w:headerReference w:type="default" r:id="rId9"/>
      <w:pgSz w:w="11906" w:h="16838"/>
      <w:pgMar w:top="284" w:right="566" w:bottom="284" w:left="993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5EE752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pPr>
      <w:keepNext/>
      <w:pageBreakBefore/>
      <w:numPr>
        <w:numId w:val="2"/>
        <w:ilvl w:val="1"/>
      </w:numPr>
      <w:spacing w:after="0" w:line="240" w:lineRule="auto"/>
      <w:ind w:left="5670" w:firstLine="0"/>
      <w:jc w:val="right"/>
      <w:outlineLvl w:val="1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numId w:val="2"/>
        <w:ilvl w:val="2"/>
      </w:numPr>
      <w:spacing w:after="0" w:line="240" w:lineRule="auto"/>
      <w:ind w:left="10206" w:firstLine="0"/>
      <w:jc w:val="right"/>
      <w:outlineLvl w:val="2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numId w:val="2"/>
        <w:ilvl w:val="3"/>
      </w:numPr>
      <w:spacing w:before="600" w:after="120" w:line="240" w:lineRule="auto"/>
      <w:jc w:val="center"/>
      <w:outlineLvl w:val="3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pageBreakBefore/>
      <w:numPr>
        <w:numId w:val="2"/>
        <w:ilvl w:val="4"/>
      </w:numPr>
      <w:spacing w:after="0" w:line="240" w:lineRule="auto"/>
      <w:ind w:left="0" w:firstLine="567"/>
      <w:jc w:val="right"/>
      <w:outlineLvl w:val="4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numId w:val="2"/>
        <w:ilvl w:val="5"/>
      </w:numPr>
      <w:spacing w:after="0" w:line="240" w:lineRule="auto"/>
      <w:outlineLvl w:val="5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numPr>
        <w:numId w:val="2"/>
        <w:ilvl w:val="6"/>
      </w:numPr>
      <w:spacing w:after="0" w:line="240" w:lineRule="auto"/>
      <w:jc w:val="center"/>
      <w:outlineLvl w:val="6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pPr>
      <w:keepNext/>
      <w:numPr>
        <w:numId w:val="2"/>
        <w:ilvl w:val="7"/>
      </w:numPr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pPr>
      <w:keepNext/>
      <w:numPr>
        <w:numId w:val="2"/>
        <w:ilvl w:val="8"/>
      </w:numPr>
      <w:spacing w:after="0" w:line="240" w:lineRule="auto"/>
      <w:ind w:left="0" w:firstLine="567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</w:style>
  <w:style w:type="paragraph" w:styleId="a8">
    <w:name w:val="No Spacing"/>
    <w:link w:val="a9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ac" w:customStyle="1">
    <w:name w:val="Текст примечания Знак"/>
    <w:basedOn w:val="a0"/>
    <w:link w:val="ab"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Default" w:customStyle="1">
    <w:name w:val="Default"/>
    <w:pPr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widowControl w:val="off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af" w:customStyle="1">
    <w:name w:val="Текст сноски Знак"/>
    <w:basedOn w:val="a0"/>
    <w:link w:val="ae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f2" w:customStyle="1">
    <w:name w:val="Тема примечания Знак"/>
    <w:basedOn w:val="ac"/>
    <w:link w:val="af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10" w:customStyle="1">
    <w:name w:val="Заголовок 1 Знак"/>
    <w:basedOn w:val="a0"/>
    <w:link w:val="1"/>
    <w:rPr>
      <w:rFonts w:ascii="Arial" w:hAnsi="Arial" w:eastAsia="Times New Roman" w:cs="Times New Roman"/>
      <w:sz w:val="20"/>
      <w:szCs w:val="20"/>
      <w:lang w:eastAsia="zh-CN"/>
    </w:rPr>
  </w:style>
  <w:style w:type="character" w:styleId="20" w:customStyle="1">
    <w:name w:val="Заголовок 2 Знак"/>
    <w:basedOn w:val="a0"/>
    <w:link w:val="2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40" w:customStyle="1">
    <w:name w:val="Заголовок 4 Знак"/>
    <w:basedOn w:val="a0"/>
    <w:link w:val="4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50" w:customStyle="1">
    <w:name w:val="Заголовок 5 Знак"/>
    <w:basedOn w:val="a0"/>
    <w:link w:val="5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60" w:customStyle="1">
    <w:name w:val="Заголовок 6 Знак"/>
    <w:basedOn w:val="a0"/>
    <w:link w:val="6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0" w:customStyle="1">
    <w:name w:val="Заголовок 7 Знак"/>
    <w:basedOn w:val="a0"/>
    <w:link w:val="7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80" w:customStyle="1">
    <w:name w:val="Заголовок 8 Знак"/>
    <w:basedOn w:val="a0"/>
    <w:link w:val="8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90" w:customStyle="1">
    <w:name w:val="Заголовок 9 Знак"/>
    <w:basedOn w:val="a0"/>
    <w:link w:val="9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  <w:jc w:val="right"/>
    </w:pPr>
    <w:rPr>
      <w:rFonts w:eastAsiaTheme="majorEastAsia" w:cstheme="majorBidi"/>
      <w:spacing w:val="-10"/>
      <w:szCs w:val="56"/>
    </w:rPr>
  </w:style>
  <w:style w:type="character" w:styleId="af4" w:customStyle="1">
    <w:name w:val="Заголовок Знак"/>
    <w:basedOn w:val="a0"/>
    <w:link w:val="af3"/>
    <w:uiPriority w:val="10"/>
    <w:rPr>
      <w:rFonts w:ascii="Arial" w:hAnsi="Arial" w:eastAsiaTheme="majorEastAsia" w:cstheme="majorBidi"/>
      <w:spacing w:val="-10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 w:customStyle="1">
    <w:name w:val="Заголовок формы"/>
    <w:basedOn w:val="a8"/>
    <w:link w:val="af8"/>
    <w:qFormat/>
    <w:pPr>
      <w:jc w:val="center"/>
    </w:pPr>
    <w:rPr>
      <w:rFonts w:ascii="Arial" w:hAnsi="Arial" w:cs="Arial"/>
      <w:sz w:val="20"/>
      <w:szCs w:val="20"/>
    </w:rPr>
  </w:style>
  <w:style w:type="character" w:styleId="a9" w:customStyle="1">
    <w:name w:val="Без интервала Знак"/>
    <w:basedOn w:val="a0"/>
    <w:link w:val="a8"/>
    <w:uiPriority w:val="1"/>
    <w:rPr>
      <w:rFonts w:ascii="Calibri" w:hAnsi="Calibri" w:eastAsia="Calibri" w:cs="Times New Roman"/>
    </w:rPr>
  </w:style>
  <w:style w:type="character" w:styleId="af8" w:customStyle="1">
    <w:name w:val="Заголовок формы Знак"/>
    <w:basedOn w:val="a9"/>
    <w:link w:val="af7"/>
    <w:rPr>
      <w:rFonts w:ascii="Arial" w:hAnsi="Arial" w:eastAsia="Calibri" w:cs="Arial"/>
      <w:sz w:val="20"/>
      <w:szCs w:val="20"/>
    </w:r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ostecnp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8076-A7CA-4536-850E-5505DE2C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4247</Characters>
  <CharactersWithSpaces>4982</CharactersWithSpaces>
  <Company/>
  <DocSecurity>0</DocSecurity>
  <HyperlinksChanged>false</HyperlinksChanged>
  <Lines>35</Lines>
  <LinksUpToDate>false</LinksUpToDate>
  <Pages>1</Pages>
  <Paragraphs>9</Paragraphs>
  <ScaleCrop>false</ScaleCrop>
  <SharedDoc>false</SharedDoc>
  <Template>Normal</Template>
  <TotalTime>3</TotalTime>
  <Words>744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Гамова Ольга Сергеевна</cp:lastModifiedBy>
  <cp:revision>13</cp:revision>
  <cp:lastPrinted>2021-11-26T08:50:00Z</cp:lastPrinted>
  <dcterms:created xsi:type="dcterms:W3CDTF">2025-02-18T14:26:00Z</dcterms:created>
  <dcterms:modified xsi:type="dcterms:W3CDTF">2026-02-19T05:41:00Z</dcterms:modified>
</cp:coreProperties>
</file>